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F3D9" w14:textId="77777777" w:rsidR="00CA227B" w:rsidRPr="00BA4F15" w:rsidRDefault="00CA227B" w:rsidP="00BA4F15">
      <w:pPr>
        <w:jc w:val="center"/>
        <w:rPr>
          <w:b/>
          <w:bCs/>
          <w:sz w:val="28"/>
        </w:rPr>
      </w:pPr>
      <w:r w:rsidRPr="00BA4F15">
        <w:rPr>
          <w:b/>
          <w:bCs/>
          <w:sz w:val="28"/>
        </w:rPr>
        <w:t>Histochemický průkaz hrachové bílkoviny</w:t>
      </w:r>
    </w:p>
    <w:p w14:paraId="4481ACCA" w14:textId="77777777" w:rsidR="00536487" w:rsidRPr="00BA4F15" w:rsidRDefault="00CA227B" w:rsidP="00BA4F15">
      <w:pPr>
        <w:jc w:val="center"/>
        <w:rPr>
          <w:b/>
          <w:bCs/>
          <w:i/>
          <w:iCs/>
          <w:sz w:val="28"/>
        </w:rPr>
      </w:pPr>
      <w:proofErr w:type="spellStart"/>
      <w:r w:rsidRPr="00BA4F15">
        <w:rPr>
          <w:b/>
          <w:bCs/>
          <w:i/>
          <w:iCs/>
          <w:sz w:val="28"/>
        </w:rPr>
        <w:t>Histochemical</w:t>
      </w:r>
      <w:proofErr w:type="spellEnd"/>
      <w:r w:rsidRPr="00BA4F15">
        <w:rPr>
          <w:b/>
          <w:bCs/>
          <w:i/>
          <w:iCs/>
          <w:sz w:val="28"/>
        </w:rPr>
        <w:t xml:space="preserve"> </w:t>
      </w:r>
      <w:proofErr w:type="spellStart"/>
      <w:r w:rsidRPr="00BA4F15">
        <w:rPr>
          <w:b/>
          <w:bCs/>
          <w:i/>
          <w:iCs/>
          <w:sz w:val="28"/>
        </w:rPr>
        <w:t>Detection</w:t>
      </w:r>
      <w:proofErr w:type="spellEnd"/>
      <w:r w:rsidRPr="00BA4F15">
        <w:rPr>
          <w:b/>
          <w:bCs/>
          <w:i/>
          <w:iCs/>
          <w:sz w:val="28"/>
        </w:rPr>
        <w:t xml:space="preserve"> of </w:t>
      </w:r>
      <w:proofErr w:type="spellStart"/>
      <w:r w:rsidRPr="00BA4F15">
        <w:rPr>
          <w:b/>
          <w:bCs/>
          <w:i/>
          <w:iCs/>
          <w:sz w:val="28"/>
        </w:rPr>
        <w:t>Pea</w:t>
      </w:r>
      <w:proofErr w:type="spellEnd"/>
      <w:r w:rsidRPr="00BA4F15">
        <w:rPr>
          <w:b/>
          <w:bCs/>
          <w:i/>
          <w:iCs/>
          <w:sz w:val="28"/>
        </w:rPr>
        <w:t xml:space="preserve"> Protein</w:t>
      </w:r>
    </w:p>
    <w:p w14:paraId="3DCE9CDF" w14:textId="77777777" w:rsidR="00536487" w:rsidRPr="00BA4F15" w:rsidRDefault="00536487" w:rsidP="00BA4F15"/>
    <w:p w14:paraId="3A64E889" w14:textId="77777777" w:rsidR="00536487" w:rsidRPr="00BA4F15" w:rsidRDefault="00536487" w:rsidP="00BA4F15">
      <w:pPr>
        <w:jc w:val="center"/>
        <w:rPr>
          <w:b/>
          <w:bCs/>
        </w:rPr>
      </w:pPr>
      <w:r w:rsidRPr="00BA4F15">
        <w:rPr>
          <w:b/>
          <w:bCs/>
        </w:rPr>
        <w:t>Javůrková, Z, Pospiech, M.</w:t>
      </w:r>
    </w:p>
    <w:p w14:paraId="4C399B39" w14:textId="77777777" w:rsidR="00536487" w:rsidRPr="00BA4F15" w:rsidRDefault="00536487" w:rsidP="00BA4F15">
      <w:pPr>
        <w:pStyle w:val="Normlnweb"/>
        <w:spacing w:before="0" w:beforeAutospacing="0" w:after="0" w:afterAutospacing="0"/>
        <w:jc w:val="center"/>
        <w:rPr>
          <w:rFonts w:ascii="Times New Roman" w:eastAsia="Times New Roman" w:hAnsi="Times New Roman" w:cs="Times New Roman"/>
        </w:rPr>
      </w:pPr>
      <w:r w:rsidRPr="00BA4F15">
        <w:rPr>
          <w:rFonts w:ascii="Times New Roman" w:eastAsia="Times New Roman" w:hAnsi="Times New Roman" w:cs="Times New Roman"/>
        </w:rPr>
        <w:t>Veterinární univerzita Brno</w:t>
      </w:r>
    </w:p>
    <w:p w14:paraId="5904B02C" w14:textId="77777777" w:rsidR="00536487" w:rsidRPr="00BA4F15" w:rsidRDefault="00536487" w:rsidP="00BA4F15"/>
    <w:p w14:paraId="23E7795A" w14:textId="77777777" w:rsidR="00536487" w:rsidRPr="00BA4F15" w:rsidRDefault="00536487" w:rsidP="00BA4F15">
      <w:pPr>
        <w:rPr>
          <w:b/>
        </w:rPr>
      </w:pPr>
      <w:r w:rsidRPr="00BA4F15">
        <w:rPr>
          <w:b/>
        </w:rPr>
        <w:t>Souhrn</w:t>
      </w:r>
    </w:p>
    <w:p w14:paraId="022744B8" w14:textId="77777777" w:rsidR="00536487" w:rsidRPr="00BA4F15" w:rsidRDefault="00CA227B" w:rsidP="00BA4F15">
      <w:r w:rsidRPr="00BA4F15">
        <w:t xml:space="preserve">V masném průmyslu se z důvodu snížení ceny výrobků využívají jako náhrady masa rostlinné bílkoviny, z nichž některé mají alergenní účinek. Proto je v současné době snaha nahradit tyto alergeny jinými rostlinnými bílkoviny, které dle legislativy mezi alergeny nejsou řazeny. Mezi nejčastěji používané patří hrachová bílkovina, která ale také může způsobovat alergické </w:t>
      </w:r>
      <w:proofErr w:type="gramStart"/>
      <w:r w:rsidRPr="00BA4F15">
        <w:t>reakce.</w:t>
      </w:r>
      <w:r w:rsidR="00536487" w:rsidRPr="00BA4F15">
        <w:t>…</w:t>
      </w:r>
      <w:proofErr w:type="gramEnd"/>
      <w:r w:rsidR="00284DBD" w:rsidRPr="00BA4F15">
        <w:t>….</w:t>
      </w:r>
    </w:p>
    <w:p w14:paraId="37840436" w14:textId="77777777" w:rsidR="00E43156" w:rsidRPr="00BA4F15" w:rsidRDefault="00E43156" w:rsidP="00BA4F15">
      <w:pPr>
        <w:rPr>
          <w:i/>
        </w:rPr>
      </w:pPr>
      <w:r w:rsidRPr="00BA4F15">
        <w:rPr>
          <w:b/>
        </w:rPr>
        <w:t xml:space="preserve">Klíčová slova: </w:t>
      </w:r>
      <w:r w:rsidRPr="00BA4F15">
        <w:rPr>
          <w:i/>
        </w:rPr>
        <w:t>rostlinné bílkoviny, mikroskopie, histochemie, ………</w:t>
      </w:r>
    </w:p>
    <w:p w14:paraId="5EA25C64" w14:textId="77777777" w:rsidR="00536487" w:rsidRPr="00BA4F15" w:rsidRDefault="00536487" w:rsidP="00BA4F15"/>
    <w:p w14:paraId="15BF51D4" w14:textId="77777777" w:rsidR="00536487" w:rsidRPr="00BA4F15" w:rsidRDefault="00536487" w:rsidP="00BA4F15">
      <w:pPr>
        <w:rPr>
          <w:b/>
          <w:lang w:val="en-GB"/>
        </w:rPr>
      </w:pPr>
      <w:r w:rsidRPr="00BA4F15">
        <w:rPr>
          <w:b/>
          <w:lang w:val="en-GB"/>
        </w:rPr>
        <w:t>Abstract</w:t>
      </w:r>
    </w:p>
    <w:p w14:paraId="67B30243" w14:textId="77777777" w:rsidR="00536487" w:rsidRPr="00BA4F15" w:rsidRDefault="00CA227B" w:rsidP="00BA4F15">
      <w:pPr>
        <w:autoSpaceDE w:val="0"/>
        <w:autoSpaceDN w:val="0"/>
        <w:adjustRightInd w:val="0"/>
        <w:rPr>
          <w:rFonts w:eastAsiaTheme="minorHAnsi"/>
          <w:lang w:val="en-GB" w:eastAsia="en-US"/>
        </w:rPr>
      </w:pPr>
      <w:r w:rsidRPr="00BA4F15">
        <w:rPr>
          <w:rFonts w:eastAsiaTheme="minorHAnsi"/>
          <w:lang w:val="en-GB" w:eastAsia="en-US"/>
        </w:rPr>
        <w:t>The meat industry uses vegetable proteins as meat substitutes to reduce the price of its products. Some vegetable proteins, however, have allergenic effects. Efforts are therefore being made to replace such allergenic proteins with other vegetable proteins that are not classified as allergens by the legislation. The most commonly used include pea protein, though this may also cause allergic reactions.</w:t>
      </w:r>
      <w:r w:rsidR="00536487" w:rsidRPr="00BA4F15">
        <w:rPr>
          <w:rFonts w:eastAsiaTheme="minorHAnsi"/>
          <w:lang w:val="en-GB" w:eastAsia="en-US"/>
        </w:rPr>
        <w:t>…</w:t>
      </w:r>
      <w:r w:rsidR="00284DBD" w:rsidRPr="00BA4F15">
        <w:rPr>
          <w:rFonts w:eastAsiaTheme="minorHAnsi"/>
          <w:lang w:val="en-GB" w:eastAsia="en-US"/>
        </w:rPr>
        <w:t>….</w:t>
      </w:r>
    </w:p>
    <w:p w14:paraId="596AB2C8" w14:textId="77777777" w:rsidR="00536487" w:rsidRPr="00BA4F15" w:rsidRDefault="00E43156" w:rsidP="00BA4F15">
      <w:pPr>
        <w:rPr>
          <w:lang w:val="en-GB"/>
        </w:rPr>
      </w:pPr>
      <w:r w:rsidRPr="00BA4F15">
        <w:rPr>
          <w:b/>
          <w:lang w:val="en-GB"/>
        </w:rPr>
        <w:t>Key words:</w:t>
      </w:r>
      <w:r w:rsidRPr="00BA4F15">
        <w:rPr>
          <w:lang w:val="en-GB"/>
        </w:rPr>
        <w:t xml:space="preserve"> </w:t>
      </w:r>
      <w:r w:rsidRPr="00BA4F15">
        <w:rPr>
          <w:i/>
          <w:lang w:val="en-GB"/>
        </w:rPr>
        <w:t xml:space="preserve">plant proteins, microscopy, histochemistry, </w:t>
      </w:r>
      <w:proofErr w:type="gramStart"/>
      <w:r w:rsidRPr="00BA4F15">
        <w:rPr>
          <w:i/>
          <w:lang w:val="en-GB"/>
        </w:rPr>
        <w:t>…..</w:t>
      </w:r>
      <w:proofErr w:type="gramEnd"/>
    </w:p>
    <w:p w14:paraId="6D5998D1" w14:textId="77777777" w:rsidR="00536487" w:rsidRPr="00BA4F15" w:rsidRDefault="00536487" w:rsidP="00BA4F15"/>
    <w:p w14:paraId="214874ED" w14:textId="77777777" w:rsidR="00536487" w:rsidRPr="00BA4F15" w:rsidRDefault="00536487" w:rsidP="00BA4F15">
      <w:pPr>
        <w:rPr>
          <w:b/>
        </w:rPr>
      </w:pPr>
      <w:r w:rsidRPr="00BA4F15">
        <w:rPr>
          <w:b/>
        </w:rPr>
        <w:t>Úvod</w:t>
      </w:r>
    </w:p>
    <w:p w14:paraId="73BA6A42" w14:textId="77777777" w:rsidR="00536487" w:rsidRPr="00BA4F15" w:rsidRDefault="00CA227B" w:rsidP="00BA4F15">
      <w:r w:rsidRPr="00BA4F15">
        <w:t>Současný konzument je při výběru potravin ovlivněn cenou výrobku. To je jeden z důvodů, proč se v masném průmyslu využívají jako náhrady masa levnější výrobní suroviny (</w:t>
      </w:r>
      <w:proofErr w:type="spellStart"/>
      <w:r w:rsidRPr="00BA4F15">
        <w:t>Modi</w:t>
      </w:r>
      <w:proofErr w:type="spellEnd"/>
      <w:r w:rsidRPr="00BA4F15">
        <w:t xml:space="preserve"> et al., 2003). Do masných výrobků se přidávají různé bílkovinné preparáty, např. proteiny živočišného (krevní plazma, kolagenní, mléčná bílkovina) a rostlinného původu (sója, hrách) (Kameník a kol., 2014</w:t>
      </w:r>
      <w:proofErr w:type="gramStart"/>
      <w:r w:rsidRPr="00BA4F15">
        <w:t>).</w:t>
      </w:r>
      <w:r w:rsidR="00284DBD" w:rsidRPr="00BA4F15">
        <w:t>…</w:t>
      </w:r>
      <w:proofErr w:type="gramEnd"/>
      <w:r w:rsidR="00284DBD" w:rsidRPr="00BA4F15">
        <w:t>……</w:t>
      </w:r>
    </w:p>
    <w:p w14:paraId="518B4EBA" w14:textId="77777777" w:rsidR="00536487" w:rsidRPr="00BA4F15" w:rsidRDefault="00E43156" w:rsidP="00BA4F15">
      <w:r w:rsidRPr="00BA4F15">
        <w:t>Cílem práce bylo ověřit vhodnost mikroskopické analýzy na průkaz hrachové bílkoviny v masných výrobcích.</w:t>
      </w:r>
    </w:p>
    <w:p w14:paraId="68580D02" w14:textId="77777777" w:rsidR="00E43156" w:rsidRPr="00BA4F15" w:rsidRDefault="00E43156" w:rsidP="00BA4F15"/>
    <w:p w14:paraId="14F804F5" w14:textId="77777777" w:rsidR="00536487" w:rsidRPr="00BA4F15" w:rsidRDefault="00536487" w:rsidP="00BA4F15">
      <w:pPr>
        <w:rPr>
          <w:b/>
        </w:rPr>
      </w:pPr>
      <w:r w:rsidRPr="00BA4F15">
        <w:rPr>
          <w:b/>
        </w:rPr>
        <w:t>Materiál a metodika</w:t>
      </w:r>
    </w:p>
    <w:p w14:paraId="09E2EED1" w14:textId="77777777" w:rsidR="00536487" w:rsidRPr="00BA4F15" w:rsidRDefault="00CA227B" w:rsidP="00BA4F15">
      <w:pPr>
        <w:autoSpaceDE w:val="0"/>
        <w:autoSpaceDN w:val="0"/>
        <w:adjustRightInd w:val="0"/>
        <w:rPr>
          <w:rFonts w:eastAsiaTheme="minorHAnsi"/>
          <w:lang w:eastAsia="en-US"/>
        </w:rPr>
      </w:pPr>
      <w:r w:rsidRPr="00BA4F15">
        <w:rPr>
          <w:rFonts w:eastAsiaTheme="minorHAnsi"/>
          <w:lang w:eastAsia="en-US"/>
        </w:rPr>
        <w:t xml:space="preserve">Byly připraveny mikroskopické preparáty ze vzorku hrachové mouky </w:t>
      </w:r>
      <w:r w:rsidR="00E43156" w:rsidRPr="00BA4F15">
        <w:rPr>
          <w:rFonts w:eastAsiaTheme="minorHAnsi"/>
          <w:lang w:eastAsia="en-US"/>
        </w:rPr>
        <w:t>(Kerry, GB) a </w:t>
      </w:r>
      <w:r w:rsidRPr="00BA4F15">
        <w:rPr>
          <w:rFonts w:eastAsiaTheme="minorHAnsi"/>
          <w:lang w:eastAsia="en-US"/>
        </w:rPr>
        <w:t xml:space="preserve">bílkoviny </w:t>
      </w:r>
      <w:r w:rsidR="00E43156" w:rsidRPr="00BA4F15">
        <w:rPr>
          <w:rFonts w:eastAsiaTheme="minorHAnsi"/>
          <w:lang w:eastAsia="en-US"/>
        </w:rPr>
        <w:t xml:space="preserve">(Kerry, GB) </w:t>
      </w:r>
      <w:r w:rsidRPr="00BA4F15">
        <w:rPr>
          <w:rFonts w:eastAsiaTheme="minorHAnsi"/>
          <w:lang w:eastAsia="en-US"/>
        </w:rPr>
        <w:t>a tepelně opracovaných modelových vzorků s jejich 2,5 % přídavkem (70 ºC, 10 minut). Dále byla do tepelně opracovaných modelových vzorků přidána sůl (2,5 %). Modelové vzorky byly zpracovány v mikroskopické laboratoři Ústavu hygieny a technologie vegetabilních potravin dle Standardních operačních postupů a byly obarveny histochemickým barvením Hematoxylin-eozin (HE), PAS Calleja (PC) a toluidinová modř (TM</w:t>
      </w:r>
      <w:proofErr w:type="gramStart"/>
      <w:r w:rsidRPr="00BA4F15">
        <w:rPr>
          <w:rFonts w:eastAsiaTheme="minorHAnsi"/>
          <w:lang w:eastAsia="en-US"/>
        </w:rPr>
        <w:t>).</w:t>
      </w:r>
      <w:r w:rsidR="00536487" w:rsidRPr="00BA4F15">
        <w:rPr>
          <w:rFonts w:eastAsiaTheme="minorHAnsi"/>
          <w:lang w:eastAsia="en-US"/>
        </w:rPr>
        <w:t>…</w:t>
      </w:r>
      <w:proofErr w:type="gramEnd"/>
      <w:r w:rsidR="00536487" w:rsidRPr="00BA4F15">
        <w:rPr>
          <w:rFonts w:eastAsiaTheme="minorHAnsi"/>
          <w:lang w:eastAsia="en-US"/>
        </w:rPr>
        <w:t>…</w:t>
      </w:r>
    </w:p>
    <w:p w14:paraId="61F08A29" w14:textId="77777777" w:rsidR="00E43156" w:rsidRPr="00BA4F15" w:rsidRDefault="00E43156" w:rsidP="00BA4F15">
      <w:pPr>
        <w:autoSpaceDE w:val="0"/>
        <w:autoSpaceDN w:val="0"/>
        <w:adjustRightInd w:val="0"/>
        <w:rPr>
          <w:rFonts w:eastAsiaTheme="minorHAnsi"/>
          <w:lang w:eastAsia="en-US"/>
        </w:rPr>
      </w:pPr>
      <w:r w:rsidRPr="00BA4F15">
        <w:rPr>
          <w:rFonts w:eastAsiaTheme="minorHAnsi"/>
          <w:lang w:eastAsia="en-US"/>
        </w:rPr>
        <w:t>Data byly vyhodnoceny popisnou statistikou v programu Excel (Microsoft, USA).</w:t>
      </w:r>
    </w:p>
    <w:p w14:paraId="63F1369C" w14:textId="77777777" w:rsidR="00E43156" w:rsidRPr="00BA4F15" w:rsidRDefault="00E43156" w:rsidP="00BA4F15">
      <w:pPr>
        <w:autoSpaceDE w:val="0"/>
        <w:autoSpaceDN w:val="0"/>
        <w:adjustRightInd w:val="0"/>
        <w:rPr>
          <w:rFonts w:eastAsiaTheme="minorHAnsi"/>
          <w:lang w:eastAsia="en-US"/>
        </w:rPr>
      </w:pPr>
    </w:p>
    <w:p w14:paraId="37C8F835" w14:textId="77777777" w:rsidR="00536487" w:rsidRPr="00BA4F15" w:rsidRDefault="00536487" w:rsidP="00BA4F15">
      <w:pPr>
        <w:autoSpaceDE w:val="0"/>
        <w:autoSpaceDN w:val="0"/>
        <w:adjustRightInd w:val="0"/>
        <w:rPr>
          <w:rFonts w:eastAsiaTheme="minorHAnsi"/>
          <w:b/>
          <w:lang w:eastAsia="en-US"/>
        </w:rPr>
      </w:pPr>
      <w:r w:rsidRPr="00BA4F15">
        <w:rPr>
          <w:rFonts w:eastAsiaTheme="minorHAnsi"/>
          <w:b/>
          <w:lang w:eastAsia="en-US"/>
        </w:rPr>
        <w:t>Výsledky a diskuze</w:t>
      </w:r>
    </w:p>
    <w:p w14:paraId="33E6D48F" w14:textId="77777777" w:rsidR="00536487" w:rsidRPr="00BA4F15" w:rsidRDefault="00CA227B" w:rsidP="00BA4F15">
      <w:pPr>
        <w:autoSpaceDE w:val="0"/>
        <w:autoSpaceDN w:val="0"/>
        <w:adjustRightInd w:val="0"/>
        <w:rPr>
          <w:rFonts w:eastAsiaTheme="minorHAnsi"/>
          <w:lang w:eastAsia="en-US"/>
        </w:rPr>
      </w:pPr>
      <w:r w:rsidRPr="00BA4F15">
        <w:rPr>
          <w:rFonts w:eastAsiaTheme="minorHAnsi"/>
          <w:lang w:eastAsia="en-US"/>
        </w:rPr>
        <w:t>Na základě získaných fotografií vzorků mouky (obr. 1 až 3) byly v modelových vzorcích s jejím přídavkem prokázány charakteristické struktury, jako jsou palisádové a pohárkové buňky (obr. 4 až 6), úlomky děloh se škrobovými zrny a buňky obsahující hrachovou bílkovinu, tak jak jsou popsány v odborné literatuře (</w:t>
      </w:r>
      <w:proofErr w:type="spellStart"/>
      <w:r w:rsidRPr="00BA4F15">
        <w:rPr>
          <w:rFonts w:eastAsiaTheme="minorHAnsi"/>
          <w:lang w:eastAsia="en-US"/>
        </w:rPr>
        <w:t>Hohmann</w:t>
      </w:r>
      <w:proofErr w:type="spellEnd"/>
      <w:r w:rsidRPr="00BA4F15">
        <w:rPr>
          <w:rFonts w:eastAsiaTheme="minorHAnsi"/>
          <w:lang w:eastAsia="en-US"/>
        </w:rPr>
        <w:t xml:space="preserve">, 2007). </w:t>
      </w:r>
      <w:r w:rsidR="00284DBD" w:rsidRPr="00BA4F15">
        <w:rPr>
          <w:rFonts w:eastAsiaTheme="minorHAnsi"/>
          <w:lang w:eastAsia="en-US"/>
        </w:rPr>
        <w:t>……….</w:t>
      </w:r>
    </w:p>
    <w:p w14:paraId="39753A7B" w14:textId="77777777" w:rsidR="00CA227B" w:rsidRPr="00BA4F15" w:rsidRDefault="00CA227B" w:rsidP="00BA4F15">
      <w:pPr>
        <w:autoSpaceDE w:val="0"/>
        <w:autoSpaceDN w:val="0"/>
        <w:adjustRightInd w:val="0"/>
        <w:rPr>
          <w:rFonts w:eastAsiaTheme="minorHAnsi"/>
          <w:lang w:eastAsia="en-US"/>
        </w:rPr>
      </w:pPr>
    </w:p>
    <w:p w14:paraId="615153ED" w14:textId="77777777" w:rsidR="00CA227B" w:rsidRPr="00BA4F15" w:rsidRDefault="00CA227B" w:rsidP="00BA4F15">
      <w:pPr>
        <w:rPr>
          <w:b/>
        </w:rPr>
      </w:pPr>
      <w:r w:rsidRPr="00BA4F15">
        <w:rPr>
          <w:b/>
        </w:rPr>
        <w:br w:type="page"/>
      </w:r>
    </w:p>
    <w:p w14:paraId="080DA3BC" w14:textId="77777777" w:rsidR="00CA227B" w:rsidRPr="00BA4F15" w:rsidRDefault="00CA227B" w:rsidP="00BA4F15">
      <w:pPr>
        <w:rPr>
          <w:vertAlign w:val="superscript"/>
        </w:rPr>
      </w:pPr>
      <w:r w:rsidRPr="00BA4F15">
        <w:rPr>
          <w:b/>
        </w:rPr>
        <w:lastRenderedPageBreak/>
        <w:t>Tabulka 1:</w:t>
      </w:r>
      <w:r w:rsidRPr="00BA4F15">
        <w:t xml:space="preserve"> Počty fragmentů palisádových buněk v tepelně opracovaných modelových vzorcích s přídavkem hrachové mouky a bílkoviny na 1 cm</w:t>
      </w:r>
      <w:r w:rsidRPr="00BA4F15">
        <w:rPr>
          <w:vertAlign w:val="superscript"/>
        </w:rPr>
        <w:t>2</w:t>
      </w:r>
    </w:p>
    <w:tbl>
      <w:tblPr>
        <w:tblStyle w:val="Mkatabulky"/>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609"/>
        <w:gridCol w:w="3053"/>
      </w:tblGrid>
      <w:tr w:rsidR="00523C83" w:rsidRPr="00BA4F15" w14:paraId="2BA117A0" w14:textId="77777777" w:rsidTr="00523C83">
        <w:tc>
          <w:tcPr>
            <w:tcW w:w="1843" w:type="dxa"/>
            <w:vMerge w:val="restart"/>
            <w:tcBorders>
              <w:top w:val="single" w:sz="12" w:space="0" w:color="auto"/>
            </w:tcBorders>
            <w:shd w:val="clear" w:color="auto" w:fill="FFFFFF" w:themeFill="background1"/>
            <w:vAlign w:val="center"/>
          </w:tcPr>
          <w:p w14:paraId="0E4F27B6" w14:textId="77777777" w:rsidR="00523C83" w:rsidRPr="00BA4F15" w:rsidRDefault="00523C83" w:rsidP="00BA4F15">
            <w:pPr>
              <w:rPr>
                <w:b/>
                <w:szCs w:val="20"/>
              </w:rPr>
            </w:pPr>
            <w:r w:rsidRPr="00BA4F15">
              <w:rPr>
                <w:b/>
                <w:szCs w:val="20"/>
              </w:rPr>
              <w:t>Barvení</w:t>
            </w:r>
          </w:p>
        </w:tc>
        <w:tc>
          <w:tcPr>
            <w:tcW w:w="6662" w:type="dxa"/>
            <w:gridSpan w:val="2"/>
            <w:tcBorders>
              <w:top w:val="single" w:sz="12" w:space="0" w:color="auto"/>
              <w:bottom w:val="single" w:sz="2" w:space="0" w:color="auto"/>
            </w:tcBorders>
            <w:shd w:val="clear" w:color="auto" w:fill="FFFFFF" w:themeFill="background1"/>
            <w:vAlign w:val="center"/>
          </w:tcPr>
          <w:p w14:paraId="0DB31E61" w14:textId="77777777" w:rsidR="00523C83" w:rsidRPr="00BA4F15" w:rsidRDefault="00523C83" w:rsidP="00BA4F15">
            <w:pPr>
              <w:jc w:val="center"/>
              <w:rPr>
                <w:b/>
                <w:szCs w:val="20"/>
              </w:rPr>
            </w:pPr>
            <w:r w:rsidRPr="00BA4F15">
              <w:rPr>
                <w:b/>
                <w:szCs w:val="20"/>
              </w:rPr>
              <w:t>Vzorek</w:t>
            </w:r>
          </w:p>
        </w:tc>
      </w:tr>
      <w:tr w:rsidR="00523C83" w:rsidRPr="00BA4F15" w14:paraId="193CC47E" w14:textId="77777777" w:rsidTr="00523C83">
        <w:tc>
          <w:tcPr>
            <w:tcW w:w="1843" w:type="dxa"/>
            <w:vMerge/>
            <w:tcBorders>
              <w:bottom w:val="single" w:sz="12" w:space="0" w:color="auto"/>
            </w:tcBorders>
            <w:shd w:val="clear" w:color="auto" w:fill="FFFFFF" w:themeFill="background1"/>
            <w:vAlign w:val="center"/>
          </w:tcPr>
          <w:p w14:paraId="5E142B4B" w14:textId="77777777" w:rsidR="00523C83" w:rsidRPr="00BA4F15" w:rsidRDefault="00523C83" w:rsidP="00BA4F15">
            <w:pPr>
              <w:rPr>
                <w:b/>
                <w:szCs w:val="20"/>
              </w:rPr>
            </w:pPr>
          </w:p>
        </w:tc>
        <w:tc>
          <w:tcPr>
            <w:tcW w:w="3609" w:type="dxa"/>
            <w:tcBorders>
              <w:top w:val="single" w:sz="2" w:space="0" w:color="auto"/>
              <w:bottom w:val="single" w:sz="12" w:space="0" w:color="auto"/>
            </w:tcBorders>
            <w:shd w:val="clear" w:color="auto" w:fill="FFFFFF" w:themeFill="background1"/>
            <w:vAlign w:val="center"/>
          </w:tcPr>
          <w:p w14:paraId="46CDB1BD" w14:textId="77777777" w:rsidR="00523C83" w:rsidRPr="00BA4F15" w:rsidRDefault="00523C83" w:rsidP="00BA4F15">
            <w:pPr>
              <w:jc w:val="center"/>
              <w:rPr>
                <w:b/>
                <w:szCs w:val="20"/>
              </w:rPr>
            </w:pPr>
            <w:r w:rsidRPr="00BA4F15">
              <w:rPr>
                <w:b/>
                <w:szCs w:val="20"/>
              </w:rPr>
              <w:t>Vzorek s přídavkem hrachové mouky</w:t>
            </w:r>
          </w:p>
        </w:tc>
        <w:tc>
          <w:tcPr>
            <w:tcW w:w="3053" w:type="dxa"/>
            <w:tcBorders>
              <w:top w:val="single" w:sz="2" w:space="0" w:color="auto"/>
              <w:bottom w:val="single" w:sz="12" w:space="0" w:color="auto"/>
            </w:tcBorders>
            <w:shd w:val="clear" w:color="auto" w:fill="FFFFFF" w:themeFill="background1"/>
            <w:vAlign w:val="center"/>
          </w:tcPr>
          <w:p w14:paraId="5C28832A" w14:textId="77777777" w:rsidR="00523C83" w:rsidRPr="00BA4F15" w:rsidRDefault="00523C83" w:rsidP="00BA4F15">
            <w:pPr>
              <w:jc w:val="center"/>
              <w:rPr>
                <w:b/>
                <w:szCs w:val="20"/>
              </w:rPr>
            </w:pPr>
            <w:r w:rsidRPr="00BA4F15">
              <w:rPr>
                <w:b/>
                <w:szCs w:val="20"/>
              </w:rPr>
              <w:t>Vzorek s přídavkem hrachové bílkoviny</w:t>
            </w:r>
          </w:p>
        </w:tc>
      </w:tr>
      <w:tr w:rsidR="00523C83" w:rsidRPr="00BA4F15" w14:paraId="7896276F" w14:textId="77777777" w:rsidTr="00523C83">
        <w:tc>
          <w:tcPr>
            <w:tcW w:w="1843" w:type="dxa"/>
            <w:tcBorders>
              <w:top w:val="single" w:sz="12" w:space="0" w:color="auto"/>
            </w:tcBorders>
            <w:vAlign w:val="center"/>
          </w:tcPr>
          <w:p w14:paraId="4B4ACE45" w14:textId="77777777" w:rsidR="00CA227B" w:rsidRPr="00BA4F15" w:rsidRDefault="00CA227B" w:rsidP="00BA4F15">
            <w:pPr>
              <w:rPr>
                <w:b/>
                <w:szCs w:val="20"/>
              </w:rPr>
            </w:pPr>
            <w:r w:rsidRPr="00BA4F15">
              <w:rPr>
                <w:b/>
                <w:szCs w:val="20"/>
              </w:rPr>
              <w:t>PC</w:t>
            </w:r>
          </w:p>
        </w:tc>
        <w:tc>
          <w:tcPr>
            <w:tcW w:w="3609" w:type="dxa"/>
            <w:tcBorders>
              <w:top w:val="single" w:sz="12" w:space="0" w:color="auto"/>
            </w:tcBorders>
            <w:vAlign w:val="center"/>
          </w:tcPr>
          <w:p w14:paraId="0FD80543" w14:textId="77777777" w:rsidR="00CA227B" w:rsidRPr="00BA4F15" w:rsidRDefault="00CA227B" w:rsidP="00BA4F15">
            <w:pPr>
              <w:jc w:val="center"/>
              <w:rPr>
                <w:szCs w:val="20"/>
              </w:rPr>
            </w:pPr>
            <w:r w:rsidRPr="00BA4F15">
              <w:rPr>
                <w:szCs w:val="20"/>
              </w:rPr>
              <w:t>2,75 ± 1,22</w:t>
            </w:r>
          </w:p>
        </w:tc>
        <w:tc>
          <w:tcPr>
            <w:tcW w:w="3053" w:type="dxa"/>
            <w:tcBorders>
              <w:top w:val="single" w:sz="12" w:space="0" w:color="auto"/>
            </w:tcBorders>
            <w:vAlign w:val="center"/>
          </w:tcPr>
          <w:p w14:paraId="6D4E86CC" w14:textId="77777777" w:rsidR="00CA227B" w:rsidRPr="00BA4F15" w:rsidRDefault="00CA227B" w:rsidP="00BA4F15">
            <w:pPr>
              <w:jc w:val="center"/>
              <w:rPr>
                <w:szCs w:val="20"/>
              </w:rPr>
            </w:pPr>
            <w:r w:rsidRPr="00BA4F15">
              <w:rPr>
                <w:szCs w:val="20"/>
              </w:rPr>
              <w:t>0</w:t>
            </w:r>
          </w:p>
        </w:tc>
      </w:tr>
      <w:tr w:rsidR="00523C83" w:rsidRPr="00BA4F15" w14:paraId="11DA6BC0" w14:textId="77777777" w:rsidTr="000D4E4D">
        <w:tc>
          <w:tcPr>
            <w:tcW w:w="1843" w:type="dxa"/>
            <w:vAlign w:val="center"/>
          </w:tcPr>
          <w:p w14:paraId="3373B9BF" w14:textId="77777777" w:rsidR="00CA227B" w:rsidRPr="00BA4F15" w:rsidRDefault="00CA227B" w:rsidP="00BA4F15">
            <w:pPr>
              <w:rPr>
                <w:b/>
                <w:szCs w:val="20"/>
              </w:rPr>
            </w:pPr>
            <w:r w:rsidRPr="00BA4F15">
              <w:rPr>
                <w:b/>
                <w:szCs w:val="20"/>
              </w:rPr>
              <w:t>TM</w:t>
            </w:r>
          </w:p>
        </w:tc>
        <w:tc>
          <w:tcPr>
            <w:tcW w:w="3609" w:type="dxa"/>
            <w:vAlign w:val="center"/>
          </w:tcPr>
          <w:p w14:paraId="79A9A7EE" w14:textId="77777777" w:rsidR="00CA227B" w:rsidRPr="00BA4F15" w:rsidRDefault="00CA227B" w:rsidP="00BA4F15">
            <w:pPr>
              <w:jc w:val="center"/>
              <w:rPr>
                <w:szCs w:val="20"/>
              </w:rPr>
            </w:pPr>
            <w:r w:rsidRPr="00BA4F15">
              <w:rPr>
                <w:szCs w:val="20"/>
              </w:rPr>
              <w:t>1,54 ± 0,83</w:t>
            </w:r>
          </w:p>
        </w:tc>
        <w:tc>
          <w:tcPr>
            <w:tcW w:w="3053" w:type="dxa"/>
            <w:vAlign w:val="center"/>
          </w:tcPr>
          <w:p w14:paraId="7C9C439A" w14:textId="77777777" w:rsidR="00CA227B" w:rsidRPr="00BA4F15" w:rsidRDefault="00CA227B" w:rsidP="00BA4F15">
            <w:pPr>
              <w:jc w:val="center"/>
              <w:rPr>
                <w:szCs w:val="20"/>
              </w:rPr>
            </w:pPr>
            <w:r w:rsidRPr="00BA4F15">
              <w:rPr>
                <w:szCs w:val="20"/>
              </w:rPr>
              <w:t>0</w:t>
            </w:r>
          </w:p>
        </w:tc>
      </w:tr>
      <w:tr w:rsidR="00523C83" w:rsidRPr="00BA4F15" w14:paraId="54D51DE0" w14:textId="77777777" w:rsidTr="000D4E4D">
        <w:tc>
          <w:tcPr>
            <w:tcW w:w="1843" w:type="dxa"/>
            <w:tcBorders>
              <w:bottom w:val="single" w:sz="12" w:space="0" w:color="auto"/>
            </w:tcBorders>
            <w:vAlign w:val="center"/>
          </w:tcPr>
          <w:p w14:paraId="03646185" w14:textId="77777777" w:rsidR="00CA227B" w:rsidRPr="00BA4F15" w:rsidRDefault="00CA227B" w:rsidP="00BA4F15">
            <w:pPr>
              <w:rPr>
                <w:b/>
                <w:szCs w:val="20"/>
              </w:rPr>
            </w:pPr>
            <w:r w:rsidRPr="00BA4F15">
              <w:rPr>
                <w:b/>
                <w:szCs w:val="20"/>
              </w:rPr>
              <w:t>HE</w:t>
            </w:r>
          </w:p>
        </w:tc>
        <w:tc>
          <w:tcPr>
            <w:tcW w:w="3609" w:type="dxa"/>
            <w:tcBorders>
              <w:bottom w:val="single" w:sz="12" w:space="0" w:color="auto"/>
            </w:tcBorders>
            <w:vAlign w:val="center"/>
          </w:tcPr>
          <w:p w14:paraId="3CFDEAB5" w14:textId="77777777" w:rsidR="00CA227B" w:rsidRPr="00BA4F15" w:rsidRDefault="00CA227B" w:rsidP="00BA4F15">
            <w:pPr>
              <w:jc w:val="center"/>
              <w:rPr>
                <w:szCs w:val="20"/>
              </w:rPr>
            </w:pPr>
            <w:r w:rsidRPr="00BA4F15">
              <w:rPr>
                <w:szCs w:val="20"/>
              </w:rPr>
              <w:t>1,50 ± 0,71</w:t>
            </w:r>
          </w:p>
        </w:tc>
        <w:tc>
          <w:tcPr>
            <w:tcW w:w="3053" w:type="dxa"/>
            <w:tcBorders>
              <w:bottom w:val="single" w:sz="12" w:space="0" w:color="auto"/>
            </w:tcBorders>
            <w:vAlign w:val="center"/>
          </w:tcPr>
          <w:p w14:paraId="7421EEDA" w14:textId="77777777" w:rsidR="00CA227B" w:rsidRPr="00BA4F15" w:rsidRDefault="00CA227B" w:rsidP="00BA4F15">
            <w:pPr>
              <w:jc w:val="center"/>
              <w:rPr>
                <w:szCs w:val="20"/>
              </w:rPr>
            </w:pPr>
            <w:r w:rsidRPr="00BA4F15">
              <w:rPr>
                <w:szCs w:val="20"/>
              </w:rPr>
              <w:t>0</w:t>
            </w:r>
          </w:p>
        </w:tc>
      </w:tr>
    </w:tbl>
    <w:p w14:paraId="0EE7FDCF" w14:textId="77777777" w:rsidR="00CA227B" w:rsidRPr="00BA4F15" w:rsidRDefault="00CA227B" w:rsidP="00BA4F15">
      <w:pPr>
        <w:autoSpaceDE w:val="0"/>
        <w:autoSpaceDN w:val="0"/>
        <w:adjustRightInd w:val="0"/>
        <w:rPr>
          <w:rFonts w:eastAsiaTheme="minorHAnsi"/>
          <w:lang w:eastAsia="en-US"/>
        </w:rPr>
      </w:pPr>
    </w:p>
    <w:tbl>
      <w:tblPr>
        <w:tblStyle w:val="Mkatabulky"/>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523C83" w:rsidRPr="00BA4F15" w14:paraId="347DD910" w14:textId="77777777" w:rsidTr="00523C83">
        <w:tc>
          <w:tcPr>
            <w:tcW w:w="8505" w:type="dxa"/>
            <w:vAlign w:val="center"/>
          </w:tcPr>
          <w:p w14:paraId="7500A318" w14:textId="4467B0E0" w:rsidR="00523C83" w:rsidRPr="00BA4F15" w:rsidRDefault="000D4E4D" w:rsidP="00BA4F15">
            <w:r w:rsidRPr="00BA4F15">
              <w:rPr>
                <w:noProof/>
                <w:lang w:val="en-GB" w:eastAsia="en-GB"/>
              </w:rPr>
              <mc:AlternateContent>
                <mc:Choice Requires="wps">
                  <w:drawing>
                    <wp:anchor distT="0" distB="0" distL="114300" distR="114300" simplePos="0" relativeHeight="251659264" behindDoc="0" locked="0" layoutInCell="1" allowOverlap="1" wp14:anchorId="169E7AE1" wp14:editId="58B1C740">
                      <wp:simplePos x="0" y="0"/>
                      <wp:positionH relativeFrom="column">
                        <wp:posOffset>65405</wp:posOffset>
                      </wp:positionH>
                      <wp:positionV relativeFrom="paragraph">
                        <wp:posOffset>881380</wp:posOffset>
                      </wp:positionV>
                      <wp:extent cx="361315" cy="0"/>
                      <wp:effectExtent l="0" t="0" r="19685" b="19050"/>
                      <wp:wrapNone/>
                      <wp:docPr id="37" name="Přímá spojnice 37"/>
                      <wp:cNvGraphicFramePr/>
                      <a:graphic xmlns:a="http://schemas.openxmlformats.org/drawingml/2006/main">
                        <a:graphicData uri="http://schemas.microsoft.com/office/word/2010/wordprocessingShape">
                          <wps:wsp>
                            <wps:cNvCnPr/>
                            <wps:spPr>
                              <a:xfrm>
                                <a:off x="0" y="0"/>
                                <a:ext cx="36131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4793C" id="Přímá spojnice 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69.4pt" to="33.6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WB5AEAAA0EAAAOAAAAZHJzL2Uyb0RvYy54bWysU0tu2zAQ3RfIHQjuY0l2kxaC5SwSpJui&#10;Nfo5AEMNLRb8gWQt+Shd9gA9RdB7dUjJctAGARJ0Q2k4M4/vPQ7XV4NWZA8+SGsaWi1KSsBw20qz&#10;a+jXL7fnbykJkZmWKWugoQcI9Gpz9mrduxqWtrOqBU8QxIS6dw3tYnR1UQTegWZhYR0YTArrNYsY&#10;+l3RetYjulbFsiwvi9761nnLIQTcvRmTdJPxhQAePwoRIBLVUOQW8+rzepfWYrNm9c4z10k+0WAv&#10;YKGZNHjoDHXDIiPfvfwHSkvubbAiLrjVhRVCcsgaUE1V/qXmc8ccZC1oTnCzTeH/wfIP+60nsm3o&#10;6g0lhmm8o+3vH/e/9P1PEpz9ZpAgwRwa1btQY/212fopCm7rk+pBeJ2+qIcM2dzDbC4MkXDcXF1W&#10;q+qCEn5MFac+50N8B1aT9NNQJU2SzWq2fx8inoWlx5K0rQzpG7q8eF2WuSxYJdtbqVRK5tGBa+XJ&#10;nuGlx6FK3BHhQRVGyuBmUjRqyH/xoGDE/wQCTUHW1XhAGscTJuMcTDziKoPVqU0gg7lxYvZU41Sf&#10;WiGP6nOa5458sjVxbtbSWP8Y7ZMVYqw/OjDqThbc2faQbzdbgzOXnZveRxrqh3FuP73izR8AAAD/&#10;/wMAUEsDBBQABgAIAAAAIQAMyqBM2wAAAAkBAAAPAAAAZHJzL2Rvd25yZXYueG1sTI9BT8JAEIXv&#10;Jv6HzZB4k10gIqndEmPi0QPoQW5Ld2ir3dnSWaD46x0SEj1N3szLm+/lyyG06og9N5EsTMYGFFIZ&#10;fUOVhY/31/sFKE6OvGsjoYUzMiyL25vcZT6eaIXHdaqUhBBnzkKdUpdpzWWNwfE4dkhy28U+uCSy&#10;r7Tv3UnCQ6unxsx1cA3Jh9p1+FJj+b0+BAu7r/25Cbgns2F+CJ8r/6M3b9bejYbnJ1AJh/Rnhgu+&#10;oEMhTNt4IM+qFW1m4pQ5W0gFMcwfp6C214Uucv2/QfELAAD//wMAUEsBAi0AFAAGAAgAAAAhALaD&#10;OJL+AAAA4QEAABMAAAAAAAAAAAAAAAAAAAAAAFtDb250ZW50X1R5cGVzXS54bWxQSwECLQAUAAYA&#10;CAAAACEAOP0h/9YAAACUAQAACwAAAAAAAAAAAAAAAAAvAQAAX3JlbHMvLnJlbHNQSwECLQAUAAYA&#10;CAAAACEAri6VgeQBAAANBAAADgAAAAAAAAAAAAAAAAAuAgAAZHJzL2Uyb0RvYy54bWxQSwECLQAU&#10;AAYACAAAACEADMqgTNsAAAAJAQAADwAAAAAAAAAAAAAAAAA+BAAAZHJzL2Rvd25yZXYueG1sUEsF&#10;BgAAAAAEAAQA8wAAAEYFAAAAAA==&#10;" strokecolor="black [3213]" strokeweight="2pt"/>
                  </w:pict>
                </mc:Fallback>
              </mc:AlternateContent>
            </w:r>
            <w:r w:rsidR="003B6AC7" w:rsidRPr="00BA4F15">
              <w:rPr>
                <w:noProof/>
                <w:lang w:val="en-GB" w:eastAsia="en-GB"/>
              </w:rPr>
              <mc:AlternateContent>
                <mc:Choice Requires="wps">
                  <w:drawing>
                    <wp:anchor distT="0" distB="0" distL="114300" distR="114300" simplePos="0" relativeHeight="251660288" behindDoc="0" locked="0" layoutInCell="1" allowOverlap="1" wp14:anchorId="2907C4F0" wp14:editId="2A1AF884">
                      <wp:simplePos x="0" y="0"/>
                      <wp:positionH relativeFrom="column">
                        <wp:posOffset>0</wp:posOffset>
                      </wp:positionH>
                      <wp:positionV relativeFrom="paragraph">
                        <wp:posOffset>883920</wp:posOffset>
                      </wp:positionV>
                      <wp:extent cx="521335" cy="180975"/>
                      <wp:effectExtent l="0" t="0" r="0" b="0"/>
                      <wp:wrapNone/>
                      <wp:docPr id="40" name="Textové pole 40"/>
                      <wp:cNvGraphicFramePr/>
                      <a:graphic xmlns:a="http://schemas.openxmlformats.org/drawingml/2006/main">
                        <a:graphicData uri="http://schemas.microsoft.com/office/word/2010/wordprocessingShape">
                          <wps:wsp>
                            <wps:cNvSpPr txBox="1"/>
                            <wps:spPr>
                              <a:xfrm>
                                <a:off x="0" y="0"/>
                                <a:ext cx="521335" cy="18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4B4FA" w14:textId="77777777" w:rsidR="00523C83" w:rsidRPr="00776D39" w:rsidRDefault="00523C83" w:rsidP="00523C83">
                                  <w:pPr>
                                    <w:rPr>
                                      <w:b/>
                                      <w:sz w:val="13"/>
                                      <w:szCs w:val="15"/>
                                    </w:rPr>
                                  </w:pPr>
                                  <w:r w:rsidRPr="00776D39">
                                    <w:rPr>
                                      <w:b/>
                                      <w:sz w:val="13"/>
                                      <w:szCs w:val="15"/>
                                    </w:rPr>
                                    <w:t>200 µm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7C4F0" id="_x0000_t202" coordsize="21600,21600" o:spt="202" path="m,l,21600r21600,l21600,xe">
                      <v:stroke joinstyle="miter"/>
                      <v:path gradientshapeok="t" o:connecttype="rect"/>
                    </v:shapetype>
                    <v:shape id="Textové pole 40" o:spid="_x0000_s1026" type="#_x0000_t202" style="position:absolute;left:0;text-align:left;margin-left:0;margin-top:69.6pt;width:41.0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dZhgIAAGgFAAAOAAAAZHJzL2Uyb0RvYy54bWysVM1OGzEQvlfqO1i+l00C4Sdig1IQVSUE&#10;qFBxdrw2WdX2uPYku+kb9Tn6Yh17d0NEe6HqZXc88/nz/J9ftNawjQqxBlfy8cGIM+UkVLV7LvnX&#10;x+sPp5xFFK4SBpwq+VZFfjF//+688TM1gRWYSgVGJC7OGl/yFaKfFUWUK2VFPACvHBk1BCuQjuG5&#10;qIJoiN2aYjIaHRcNhMoHkCpG0l51Rj7P/ForiXdaR4XMlJx8w/wN+btM32J+LmbPQfhVLXs3xD94&#10;YUXt6NEd1ZVAwdah/oPK1jJABI0HEmwBWtdS5RgomvHoVTQPK+FVjoWSE/0uTfH/0crbzX1gdVXy&#10;I0qPE5Zq9KhahM2vn8yDUYz0lKTGxxlhHzyhsf0ILRV70EdSpthbHWz6U1SM7MS33aWYKJkk5XQy&#10;PjyccibJND4dnZ1ME0vxctmHiJ8UWJaEkgeqYE6s2NxE7KADJL3l4Lo2JlfRONaU/PhwOsoXdhYi&#10;Ny5hVe6HniYF1DmeJdwalTDGfVGa8pH9T4rcierSBLYR1ENCSuUwh555CZ1Qmpx4y8Ue/+LVWy53&#10;cQwvg8PdZVs7CDn6V25X3waXdYennO/FnURsl21f6CVUW6pzgG5copfXNVXjRkS8F4Hmg0pLM493&#10;9NEGKOvQS5ytIPz4mz7hqW3JyllD81by+H0tguLMfHbU0Gfjo9SBmA9H05MJHcK+ZblvcWt7CVSO&#10;MW0XL7OY8GgGUQewT7QaFulVMgkn6e2S4yBeYrcFaLVItVhkEI2kF3jjHrxM1Kk6qdce2ycRfN+Q&#10;SJ18C8Nkitmrvuyw6aaDxRpB17lpU4K7rPaJp3HObd+vnrQv9s8Z9bIg578BAAD//wMAUEsDBBQA&#10;BgAIAAAAIQCxOprp3wAAAAcBAAAPAAAAZHJzL2Rvd25yZXYueG1sTI/BTsMwEETvSPyDtUjcqNMg&#10;2hDiVFWkCgnBoaUXbpvYTSLsdYjdNvD1LKdynJnVzNtiNTkrTmYMvScF81kCwlDjdU+tgv375i4D&#10;ESKSRuvJKPg2AVbl9VWBufZn2prTLraCSyjkqKCLccilDE1nHIaZHwxxdvCjw8hybKUe8czlzso0&#10;SRbSYU+80OFgqs40n7ujU/BSbd5wW6cu+7HV8+thPXztPx6Uur2Z1k8gopni5Rj+8BkdSmaq/ZF0&#10;EFYBPxLZvX9MQXCcpXMQNRuL5RJkWcj//OUvAAAA//8DAFBLAQItABQABgAIAAAAIQC2gziS/gAA&#10;AOEBAAATAAAAAAAAAAAAAAAAAAAAAABbQ29udGVudF9UeXBlc10ueG1sUEsBAi0AFAAGAAgAAAAh&#10;ADj9If/WAAAAlAEAAAsAAAAAAAAAAAAAAAAALwEAAF9yZWxzLy5yZWxzUEsBAi0AFAAGAAgAAAAh&#10;AAjGR1mGAgAAaAUAAA4AAAAAAAAAAAAAAAAALgIAAGRycy9lMm9Eb2MueG1sUEsBAi0AFAAGAAgA&#10;AAAhALE6munfAAAABwEAAA8AAAAAAAAAAAAAAAAA4AQAAGRycy9kb3ducmV2LnhtbFBLBQYAAAAA&#10;BAAEAPMAAADsBQAAAAA=&#10;" filled="f" stroked="f" strokeweight=".5pt">
                      <v:textbox>
                        <w:txbxContent>
                          <w:p w14:paraId="0D24B4FA" w14:textId="77777777" w:rsidR="00523C83" w:rsidRPr="00776D39" w:rsidRDefault="00523C83" w:rsidP="00523C83">
                            <w:pPr>
                              <w:rPr>
                                <w:b/>
                                <w:sz w:val="13"/>
                                <w:szCs w:val="15"/>
                              </w:rPr>
                            </w:pPr>
                            <w:r w:rsidRPr="00776D39">
                              <w:rPr>
                                <w:b/>
                                <w:sz w:val="13"/>
                                <w:szCs w:val="15"/>
                              </w:rPr>
                              <w:t>200 µm</w:t>
                            </w:r>
                          </w:p>
                        </w:txbxContent>
                      </v:textbox>
                    </v:shape>
                  </w:pict>
                </mc:Fallback>
              </mc:AlternateContent>
            </w:r>
            <w:r w:rsidR="00523C83" w:rsidRPr="00BA4F15">
              <w:rPr>
                <w:noProof/>
                <w:lang w:val="en-GB" w:eastAsia="en-GB"/>
              </w:rPr>
              <mc:AlternateContent>
                <mc:Choice Requires="wps">
                  <w:drawing>
                    <wp:anchor distT="0" distB="0" distL="114300" distR="114300" simplePos="0" relativeHeight="251661312" behindDoc="0" locked="0" layoutInCell="1" allowOverlap="1" wp14:anchorId="67BCA4CF" wp14:editId="4B0B96A1">
                      <wp:simplePos x="0" y="0"/>
                      <wp:positionH relativeFrom="column">
                        <wp:posOffset>969645</wp:posOffset>
                      </wp:positionH>
                      <wp:positionV relativeFrom="paragraph">
                        <wp:posOffset>509270</wp:posOffset>
                      </wp:positionV>
                      <wp:extent cx="300990" cy="276225"/>
                      <wp:effectExtent l="38100" t="38100" r="22860" b="28575"/>
                      <wp:wrapNone/>
                      <wp:docPr id="43" name="Přímá spojnice se šipkou 43"/>
                      <wp:cNvGraphicFramePr/>
                      <a:graphic xmlns:a="http://schemas.openxmlformats.org/drawingml/2006/main">
                        <a:graphicData uri="http://schemas.microsoft.com/office/word/2010/wordprocessingShape">
                          <wps:wsp>
                            <wps:cNvCnPr/>
                            <wps:spPr>
                              <a:xfrm flipH="1" flipV="1">
                                <a:off x="0" y="0"/>
                                <a:ext cx="300990" cy="27622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84BE06" id="_x0000_t32" coordsize="21600,21600" o:spt="32" o:oned="t" path="m,l21600,21600e" filled="f">
                      <v:path arrowok="t" fillok="f" o:connecttype="none"/>
                      <o:lock v:ext="edit" shapetype="t"/>
                    </v:shapetype>
                    <v:shape id="Přímá spojnice se šipkou 43" o:spid="_x0000_s1026" type="#_x0000_t32" style="position:absolute;margin-left:76.35pt;margin-top:40.1pt;width:23.7pt;height:21.7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qlFQIAAFgEAAAOAAAAZHJzL2Uyb0RvYy54bWysVM1y0zAQvjPDO2h0J3bSH2gmTg8phQMD&#10;GVq4q7IUCyStRlJj51E49gF4ik7fi5XsOKScYLhoJO9++337aeXFZWc02QofFNiKTiclJcJyqJXd&#10;VPTL7fWrN5SEyGzNNFhR0Z0I9HL58sWidXMxgwZ0LTzBIjbMW1fRJkY3L4rAG2FYmIATFoMSvGER&#10;j35T1J61WN3oYlaW50ULvnYeuAgBv171QbrM9aUUPH6SMohIdEVRW8yrz+tdWovlgs03nrlG8UEG&#10;+wcVhimLpGOpKxYZuffqj1JGcQ8BZJxwMAVIqbjIPWA30/JZNzcNcyL3guYEN9oU/l9Z/nG79kTV&#10;FT09ocQyg3e0fvrx+NM8PpDg4JtFgSQI8vSg3He4J5iGnrUuzBG6sms/nIJb+2RAJ70hUiv3HseB&#10;5t3XtEsxbJd02fvd6L3oIuH48aQsLy7whjiGZq/PZ7OzxFP0BRPY+RDfCTAkbSoaomdq08QVWIu3&#10;DL6nYNsPIfbAPSCBtSUt1j07LcusJIBW9bXSOgXzsImV9mTLcExiNx2oj7IiU/qtrUncOfSIeQ/t&#10;kKYtCk2O9B7kXdxp0RN/FhL9xQ57gc/IGOfCxj2htpidYBKljcBBcnoSB5XHwCE/QUWe+r8Bj4jM&#10;DDaOYKMs+N6wY/aDR7LP3zvQ950suIN6l6cjW4Pjm29zeGrpffx+zvDDD2H5CwAA//8DAFBLAwQU&#10;AAYACAAAACEAg2AsgeAAAAAKAQAADwAAAGRycy9kb3ducmV2LnhtbEyPzU7DMBCE70i8g7VIXFDr&#10;xLRNFeJUqPyoAi5teQA3XpKIeB3Fbht4epYTHEczmvmmWI2uEyccQutJQzpNQCBV3rZUa3jfP02W&#10;IEI0ZE3nCTV8YYBVeXlRmNz6M23xtIu14BIKudHQxNjnUoaqQWfC1PdI7H34wZnIcqilHcyZy10n&#10;VZIspDMt8UJjelw3WH3ujk7Dy+JBPaev2duj3M/sd3azmdfrmdbXV+P9HYiIY/wLwy8+o0PJTAd/&#10;JBtEx3quMo5qWCYKBAd4LgVxYEfdZiDLQv6/UP4AAAD//wMAUEsBAi0AFAAGAAgAAAAhALaDOJL+&#10;AAAA4QEAABMAAAAAAAAAAAAAAAAAAAAAAFtDb250ZW50X1R5cGVzXS54bWxQSwECLQAUAAYACAAA&#10;ACEAOP0h/9YAAACUAQAACwAAAAAAAAAAAAAAAAAvAQAAX3JlbHMvLnJlbHNQSwECLQAUAAYACAAA&#10;ACEAAscapRUCAABYBAAADgAAAAAAAAAAAAAAAAAuAgAAZHJzL2Uyb0RvYy54bWxQSwECLQAUAAYA&#10;CAAAACEAg2AsgeAAAAAKAQAADwAAAAAAAAAAAAAAAABvBAAAZHJzL2Rvd25yZXYueG1sUEsFBgAA&#10;AAAEAAQA8wAAAHwFAAAAAA==&#10;" strokecolor="black [3213]" strokeweight="2pt">
                      <v:stroke endarrow="open"/>
                    </v:shape>
                  </w:pict>
                </mc:Fallback>
              </mc:AlternateContent>
            </w:r>
            <w:r w:rsidR="00523C83" w:rsidRPr="00BA4F15">
              <w:rPr>
                <w:noProof/>
                <w:lang w:val="en-GB" w:eastAsia="en-GB"/>
              </w:rPr>
              <w:drawing>
                <wp:inline distT="0" distB="0" distL="0" distR="0" wp14:anchorId="271D1B1D" wp14:editId="1FAD7272">
                  <wp:extent cx="1619250" cy="1079686"/>
                  <wp:effectExtent l="0" t="0" r="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2.JPG"/>
                          <pic:cNvPicPr/>
                        </pic:nvPicPr>
                        <pic:blipFill>
                          <a:blip r:embed="rId7" cstate="print">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635534" cy="1090544"/>
                          </a:xfrm>
                          <a:prstGeom prst="rect">
                            <a:avLst/>
                          </a:prstGeom>
                        </pic:spPr>
                      </pic:pic>
                    </a:graphicData>
                  </a:graphic>
                </wp:inline>
              </w:drawing>
            </w:r>
          </w:p>
        </w:tc>
      </w:tr>
      <w:tr w:rsidR="00523C83" w:rsidRPr="00BA4F15" w14:paraId="39C35FB4" w14:textId="77777777" w:rsidTr="00523C83">
        <w:tc>
          <w:tcPr>
            <w:tcW w:w="8505" w:type="dxa"/>
            <w:vAlign w:val="center"/>
          </w:tcPr>
          <w:p w14:paraId="5AFD12B4" w14:textId="19C15874" w:rsidR="00523C83" w:rsidRPr="00BA4F15" w:rsidRDefault="00523C83" w:rsidP="00BA4F15">
            <w:pPr>
              <w:rPr>
                <w:szCs w:val="20"/>
                <w:lang w:val="en-US"/>
              </w:rPr>
            </w:pPr>
            <w:r w:rsidRPr="00BA4F15">
              <w:rPr>
                <w:b/>
                <w:szCs w:val="20"/>
              </w:rPr>
              <w:t>Obrázek 1:</w:t>
            </w:r>
            <w:r w:rsidRPr="00BA4F15">
              <w:rPr>
                <w:szCs w:val="20"/>
              </w:rPr>
              <w:t xml:space="preserve"> palisádové buňky v hrachové mouce, PC</w:t>
            </w:r>
          </w:p>
        </w:tc>
      </w:tr>
    </w:tbl>
    <w:p w14:paraId="173B4DD7" w14:textId="77777777" w:rsidR="00CA227B" w:rsidRPr="00BA4F15" w:rsidRDefault="00CA227B" w:rsidP="00BA4F15">
      <w:pPr>
        <w:autoSpaceDE w:val="0"/>
        <w:autoSpaceDN w:val="0"/>
        <w:adjustRightInd w:val="0"/>
        <w:rPr>
          <w:rFonts w:eastAsiaTheme="minorHAnsi"/>
          <w:lang w:eastAsia="en-US"/>
        </w:rPr>
      </w:pPr>
    </w:p>
    <w:p w14:paraId="5925F597" w14:textId="77777777" w:rsidR="00536487" w:rsidRPr="00BA4F15" w:rsidRDefault="00536487" w:rsidP="00BA4F15">
      <w:pPr>
        <w:autoSpaceDE w:val="0"/>
        <w:autoSpaceDN w:val="0"/>
        <w:adjustRightInd w:val="0"/>
        <w:rPr>
          <w:rFonts w:eastAsiaTheme="minorHAnsi"/>
          <w:b/>
          <w:lang w:eastAsia="en-US"/>
        </w:rPr>
      </w:pPr>
      <w:r w:rsidRPr="00BA4F15">
        <w:rPr>
          <w:rFonts w:eastAsiaTheme="minorHAnsi"/>
          <w:b/>
          <w:lang w:eastAsia="en-US"/>
        </w:rPr>
        <w:t>Závěr</w:t>
      </w:r>
    </w:p>
    <w:p w14:paraId="204B7C72" w14:textId="58F967F3" w:rsidR="00536487" w:rsidRPr="00BA4F15" w:rsidRDefault="00523C83" w:rsidP="00BA4F15">
      <w:pPr>
        <w:autoSpaceDE w:val="0"/>
        <w:autoSpaceDN w:val="0"/>
        <w:adjustRightInd w:val="0"/>
        <w:rPr>
          <w:rFonts w:eastAsiaTheme="minorHAnsi"/>
          <w:lang w:eastAsia="en-US"/>
        </w:rPr>
      </w:pPr>
      <w:r w:rsidRPr="00BA4F15">
        <w:rPr>
          <w:rFonts w:eastAsiaTheme="minorHAnsi"/>
          <w:lang w:eastAsia="en-US"/>
        </w:rPr>
        <w:t>Na základě výsledků studie lze použití barvení PAS Calleja považovat za nejvhodnější histochemické barvení pro průkaz přídavku hrachové mouky. Toto barvení poskytuje dostatečně barevně odlišné výsledky i pro méně zkušeného vyšetřovatele. Přídavek mouky lze identifikovat na základě nálezu palisádových a pohárkových buněk, které se vyskytovali ve všech řezech a také na základě nálezu škrobových zrn.</w:t>
      </w:r>
      <w:r w:rsidR="000D4E4D" w:rsidRPr="00BA4F15">
        <w:rPr>
          <w:rFonts w:eastAsiaTheme="minorHAnsi"/>
          <w:lang w:eastAsia="en-US"/>
        </w:rPr>
        <w:t xml:space="preserve"> </w:t>
      </w:r>
      <w:r w:rsidR="00284DBD" w:rsidRPr="00BA4F15">
        <w:rPr>
          <w:rFonts w:eastAsiaTheme="minorHAnsi"/>
          <w:lang w:eastAsia="en-US"/>
        </w:rPr>
        <w:t>…….</w:t>
      </w:r>
    </w:p>
    <w:p w14:paraId="0AF1EC0C" w14:textId="77777777" w:rsidR="00284DBD" w:rsidRPr="00BA4F15" w:rsidRDefault="00284DBD" w:rsidP="00BA4F15">
      <w:pPr>
        <w:autoSpaceDE w:val="0"/>
        <w:autoSpaceDN w:val="0"/>
        <w:adjustRightInd w:val="0"/>
        <w:rPr>
          <w:rFonts w:eastAsiaTheme="minorHAnsi"/>
          <w:lang w:eastAsia="en-US"/>
        </w:rPr>
      </w:pPr>
    </w:p>
    <w:p w14:paraId="7DF93889" w14:textId="77777777" w:rsidR="00284DBD" w:rsidRPr="00BA4F15" w:rsidRDefault="00284DBD" w:rsidP="00BA4F15">
      <w:pPr>
        <w:autoSpaceDE w:val="0"/>
        <w:autoSpaceDN w:val="0"/>
        <w:adjustRightInd w:val="0"/>
        <w:rPr>
          <w:rFonts w:eastAsiaTheme="minorHAnsi"/>
          <w:b/>
          <w:lang w:eastAsia="en-US"/>
        </w:rPr>
      </w:pPr>
      <w:r w:rsidRPr="00BA4F15">
        <w:rPr>
          <w:rFonts w:eastAsiaTheme="minorHAnsi"/>
          <w:b/>
          <w:lang w:eastAsia="en-US"/>
        </w:rPr>
        <w:t>Literatura</w:t>
      </w:r>
    </w:p>
    <w:p w14:paraId="5CFAD81A" w14:textId="77777777" w:rsidR="003B6AC7" w:rsidRPr="00BA4F15" w:rsidRDefault="003B6AC7" w:rsidP="00BA4F15">
      <w:pPr>
        <w:autoSpaceDE w:val="0"/>
        <w:autoSpaceDN w:val="0"/>
        <w:adjustRightInd w:val="0"/>
        <w:rPr>
          <w:noProof/>
          <w:lang w:val="en-GB"/>
        </w:rPr>
      </w:pPr>
      <w:r w:rsidRPr="00BA4F15">
        <w:rPr>
          <w:noProof/>
          <w:lang w:val="en-GB"/>
        </w:rPr>
        <w:t xml:space="preserve">Česká Republika. Vyhláška č. 113/2005 Sb. ze dne 4. března 2005, o způsobu označování potravin a tabákových výrobků. </w:t>
      </w:r>
      <w:r w:rsidRPr="00BA4F15">
        <w:rPr>
          <w:i/>
          <w:noProof/>
          <w:lang w:val="en-GB"/>
        </w:rPr>
        <w:t>Sbírka zákonů</w:t>
      </w:r>
      <w:r w:rsidRPr="00BA4F15">
        <w:rPr>
          <w:noProof/>
          <w:lang w:val="en-GB"/>
        </w:rPr>
        <w:t>, 2005, č. 37, s. 1163-1174.</w:t>
      </w:r>
    </w:p>
    <w:p w14:paraId="1E4152DC" w14:textId="77777777" w:rsidR="003B6AC7" w:rsidRPr="00BA4F15" w:rsidRDefault="003B6AC7" w:rsidP="00BA4F15">
      <w:pPr>
        <w:autoSpaceDE w:val="0"/>
        <w:autoSpaceDN w:val="0"/>
        <w:adjustRightInd w:val="0"/>
        <w:rPr>
          <w:noProof/>
          <w:lang w:val="en-GB"/>
        </w:rPr>
      </w:pPr>
      <w:r w:rsidRPr="00BA4F15">
        <w:rPr>
          <w:noProof/>
          <w:lang w:val="en-GB"/>
        </w:rPr>
        <w:t xml:space="preserve">Evropská Unie. Nařízení Evropského parlamentu a Rady (EU) č. 1169/2011 ze dne 25. října 2011, o poskytování informací o potravinách spotřebitelům, o změně nařízení Evropského parlamentu a Rady (ES) č. 1924/2006 a (ES) č. 1925/2006 a o zrušení směrnice Komise 87/250/EHS, směrnice Rady 90/496/EHS, směrnice Komise 1999/10/ES, směrnice Evropského parlamentu a Rady 2000/13/ES, směrnic Komise 2002/67/ES a 2008/5/ES a nařízení Komise (ES) č. 608/2004. </w:t>
      </w:r>
      <w:r w:rsidRPr="00BA4F15">
        <w:rPr>
          <w:i/>
          <w:noProof/>
          <w:lang w:val="en-GB"/>
        </w:rPr>
        <w:t>Úřední věstník Evropské unie L 304</w:t>
      </w:r>
      <w:r w:rsidRPr="00BA4F15">
        <w:rPr>
          <w:noProof/>
          <w:lang w:val="en-GB"/>
        </w:rPr>
        <w:t>, 22/11/2011, s. 18-63.</w:t>
      </w:r>
    </w:p>
    <w:p w14:paraId="4B148D99" w14:textId="77777777" w:rsidR="003B6AC7" w:rsidRPr="00BA4F15" w:rsidRDefault="003B6AC7" w:rsidP="00BA4F15">
      <w:pPr>
        <w:autoSpaceDE w:val="0"/>
        <w:autoSpaceDN w:val="0"/>
        <w:adjustRightInd w:val="0"/>
        <w:rPr>
          <w:noProof/>
          <w:lang w:val="en-GB"/>
        </w:rPr>
      </w:pPr>
      <w:r w:rsidRPr="00BA4F15">
        <w:rPr>
          <w:noProof/>
          <w:lang w:val="en-GB"/>
        </w:rPr>
        <w:t xml:space="preserve">Flint, O. 1994. </w:t>
      </w:r>
      <w:r w:rsidRPr="00BA4F15">
        <w:rPr>
          <w:i/>
          <w:noProof/>
          <w:lang w:val="en-GB"/>
        </w:rPr>
        <w:t>Food microscopy</w:t>
      </w:r>
      <w:r w:rsidRPr="00BA4F15">
        <w:rPr>
          <w:noProof/>
          <w:lang w:val="en-GB"/>
        </w:rPr>
        <w:t>. Bios Scientific Publishers.</w:t>
      </w:r>
    </w:p>
    <w:p w14:paraId="6E8911F4" w14:textId="77777777" w:rsidR="003B6AC7" w:rsidRPr="00BA4F15" w:rsidRDefault="003B6AC7" w:rsidP="00BA4F15">
      <w:pPr>
        <w:autoSpaceDE w:val="0"/>
        <w:autoSpaceDN w:val="0"/>
        <w:adjustRightInd w:val="0"/>
        <w:rPr>
          <w:noProof/>
          <w:lang w:val="en-GB"/>
        </w:rPr>
      </w:pPr>
      <w:r w:rsidRPr="00BA4F15">
        <w:rPr>
          <w:noProof/>
          <w:lang w:val="en-GB"/>
        </w:rPr>
        <w:t xml:space="preserve">Hohmann, B., Gassner, G., Bauermeister, K. 2007. </w:t>
      </w:r>
      <w:r w:rsidRPr="00BA4F15">
        <w:rPr>
          <w:i/>
          <w:noProof/>
          <w:lang w:val="en-GB"/>
        </w:rPr>
        <w:t>Mikroskopische Untersuchung pflanzlicher Lebensmittel und Futtermittel</w:t>
      </w:r>
      <w:r w:rsidRPr="00BA4F15">
        <w:rPr>
          <w:noProof/>
          <w:lang w:val="en-GB"/>
        </w:rPr>
        <w:t>. Behr's.</w:t>
      </w:r>
    </w:p>
    <w:p w14:paraId="1B82A2A6" w14:textId="77777777" w:rsidR="003B6AC7" w:rsidRPr="00BA4F15" w:rsidRDefault="003B6AC7" w:rsidP="00BA4F15">
      <w:pPr>
        <w:autoSpaceDE w:val="0"/>
        <w:autoSpaceDN w:val="0"/>
        <w:adjustRightInd w:val="0"/>
        <w:rPr>
          <w:noProof/>
          <w:lang w:val="en-GB"/>
        </w:rPr>
      </w:pPr>
      <w:r w:rsidRPr="00BA4F15">
        <w:rPr>
          <w:noProof/>
          <w:lang w:val="en-GB"/>
        </w:rPr>
        <w:t xml:space="preserve">Lewis, D. F. 1986. Features of food microscopy. </w:t>
      </w:r>
      <w:r w:rsidRPr="00BA4F15">
        <w:rPr>
          <w:i/>
          <w:noProof/>
          <w:lang w:val="en-GB"/>
        </w:rPr>
        <w:t>Food Structure</w:t>
      </w:r>
      <w:r w:rsidRPr="00BA4F15">
        <w:rPr>
          <w:noProof/>
          <w:lang w:val="en-GB"/>
        </w:rPr>
        <w:t>, vol. 5, no. 1, pp. 1-18.</w:t>
      </w:r>
    </w:p>
    <w:p w14:paraId="7DA66815" w14:textId="77777777" w:rsidR="003B6AC7" w:rsidRPr="00BA4F15" w:rsidRDefault="003B6AC7" w:rsidP="00BA4F15">
      <w:pPr>
        <w:autoSpaceDE w:val="0"/>
        <w:autoSpaceDN w:val="0"/>
        <w:adjustRightInd w:val="0"/>
        <w:rPr>
          <w:noProof/>
          <w:lang w:val="en-GB"/>
        </w:rPr>
      </w:pPr>
      <w:r w:rsidRPr="00BA4F15">
        <w:rPr>
          <w:noProof/>
          <w:lang w:val="en-GB"/>
        </w:rPr>
        <w:t xml:space="preserve">Shi, C., He, Y., Ding, M., Wang, Y., Zhong, J. 2019. Nanoimaging of food proteins by atomic force microscopy. Part II: Application for food proteins from different sources. </w:t>
      </w:r>
      <w:r w:rsidRPr="00BA4F15">
        <w:rPr>
          <w:i/>
          <w:noProof/>
          <w:lang w:val="en-GB"/>
        </w:rPr>
        <w:t>Trends in Food Science &amp; Technology</w:t>
      </w:r>
      <w:r w:rsidRPr="00BA4F15">
        <w:rPr>
          <w:noProof/>
          <w:lang w:val="en-GB"/>
        </w:rPr>
        <w:t>, vol. 87, pp. 14-25.</w:t>
      </w:r>
    </w:p>
    <w:p w14:paraId="73F3ED27" w14:textId="77777777" w:rsidR="003B6AC7" w:rsidRPr="00BA4F15" w:rsidRDefault="003B6AC7" w:rsidP="00BA4F15">
      <w:pPr>
        <w:autoSpaceDE w:val="0"/>
        <w:autoSpaceDN w:val="0"/>
        <w:adjustRightInd w:val="0"/>
        <w:rPr>
          <w:b/>
          <w:lang w:val="en-GB"/>
        </w:rPr>
      </w:pPr>
      <w:r w:rsidRPr="00BA4F15">
        <w:rPr>
          <w:noProof/>
          <w:lang w:val="en-GB"/>
        </w:rPr>
        <w:t xml:space="preserve">Yang, H., Wang, Y., Lai, S., An, H., Li, Y., &amp; Chen, F. 2007. Application of atomic force microscopy as a nanotechnology tool in food science. </w:t>
      </w:r>
      <w:r w:rsidRPr="00BA4F15">
        <w:rPr>
          <w:i/>
          <w:noProof/>
          <w:lang w:val="en-GB"/>
        </w:rPr>
        <w:t>Journal of food science</w:t>
      </w:r>
      <w:r w:rsidRPr="00BA4F15">
        <w:rPr>
          <w:noProof/>
          <w:lang w:val="en-GB"/>
        </w:rPr>
        <w:t>, vol. 72, no. 4, R65-R75.</w:t>
      </w:r>
      <w:r w:rsidR="00C7630D" w:rsidRPr="00BA4F15">
        <w:rPr>
          <w:noProof/>
          <w:lang w:val="en-GB"/>
        </w:rPr>
        <w:t xml:space="preserve"> </w:t>
      </w:r>
      <w:hyperlink r:id="rId9" w:history="1">
        <w:r w:rsidR="00C7630D" w:rsidRPr="00BA4F15">
          <w:rPr>
            <w:rStyle w:val="Hypertextovodkaz"/>
            <w:noProof/>
            <w:lang w:val="en-GB"/>
          </w:rPr>
          <w:t>https://doi.org/10.1111/j.1750-3841.2007.00346.x</w:t>
        </w:r>
      </w:hyperlink>
      <w:r w:rsidR="00C7630D" w:rsidRPr="00BA4F15">
        <w:rPr>
          <w:noProof/>
          <w:lang w:val="en-GB"/>
        </w:rPr>
        <w:t xml:space="preserve"> </w:t>
      </w:r>
    </w:p>
    <w:p w14:paraId="6FDDF75D" w14:textId="77777777" w:rsidR="002F2E29" w:rsidRPr="00BA4F15" w:rsidRDefault="002F2E29" w:rsidP="00BA4F15">
      <w:pPr>
        <w:autoSpaceDE w:val="0"/>
        <w:autoSpaceDN w:val="0"/>
        <w:adjustRightInd w:val="0"/>
        <w:rPr>
          <w:rFonts w:eastAsiaTheme="minorHAnsi"/>
          <w:lang w:eastAsia="en-US"/>
        </w:rPr>
      </w:pPr>
    </w:p>
    <w:p w14:paraId="316790EA" w14:textId="77777777" w:rsidR="00284DBD" w:rsidRPr="00BA4F15" w:rsidRDefault="00284DBD" w:rsidP="00BA4F15">
      <w:pPr>
        <w:autoSpaceDE w:val="0"/>
        <w:autoSpaceDN w:val="0"/>
        <w:adjustRightInd w:val="0"/>
        <w:rPr>
          <w:b/>
        </w:rPr>
      </w:pPr>
      <w:r w:rsidRPr="00BA4F15">
        <w:rPr>
          <w:b/>
        </w:rPr>
        <w:t>Poděkování</w:t>
      </w:r>
    </w:p>
    <w:p w14:paraId="6D2F2AA9" w14:textId="77777777" w:rsidR="00284DBD" w:rsidRPr="00BA4F15" w:rsidRDefault="002F2E29" w:rsidP="00BA4F15">
      <w:pPr>
        <w:autoSpaceDE w:val="0"/>
        <w:autoSpaceDN w:val="0"/>
        <w:adjustRightInd w:val="0"/>
      </w:pPr>
      <w:r w:rsidRPr="00BA4F15">
        <w:t>Tato práce byla podpořena projektem IGA 228/2015/FVHE Veterinární a farmaceutické univerzity Brno.</w:t>
      </w:r>
    </w:p>
    <w:p w14:paraId="45848470" w14:textId="77777777" w:rsidR="002F2E29" w:rsidRPr="00BA4F15" w:rsidRDefault="002F2E29" w:rsidP="00BA4F15">
      <w:pPr>
        <w:autoSpaceDE w:val="0"/>
        <w:autoSpaceDN w:val="0"/>
        <w:adjustRightInd w:val="0"/>
      </w:pPr>
    </w:p>
    <w:p w14:paraId="07D99E06" w14:textId="77777777" w:rsidR="00284DBD" w:rsidRPr="00BA4F15" w:rsidRDefault="00284DBD" w:rsidP="00BA4F15">
      <w:pPr>
        <w:autoSpaceDE w:val="0"/>
        <w:autoSpaceDN w:val="0"/>
        <w:adjustRightInd w:val="0"/>
        <w:rPr>
          <w:b/>
        </w:rPr>
      </w:pPr>
      <w:r w:rsidRPr="00BA4F15">
        <w:rPr>
          <w:b/>
        </w:rPr>
        <w:t>Kontaktní adresa</w:t>
      </w:r>
    </w:p>
    <w:p w14:paraId="428FFDC8" w14:textId="77777777" w:rsidR="00284DBD" w:rsidRPr="00BA4F15" w:rsidRDefault="00284DBD" w:rsidP="00BA4F15">
      <w:pPr>
        <w:autoSpaceDE w:val="0"/>
        <w:autoSpaceDN w:val="0"/>
        <w:adjustRightInd w:val="0"/>
      </w:pPr>
      <w:r w:rsidRPr="00BA4F15">
        <w:t>Mgr. Zdeňka Javůrková, Ph.D., V</w:t>
      </w:r>
      <w:r w:rsidR="00B567B0" w:rsidRPr="00BA4F15">
        <w:t>ETUNI</w:t>
      </w:r>
      <w:r w:rsidRPr="00BA4F15">
        <w:t xml:space="preserve"> Brno, Fakulta veterinární hygieny a ekologie, Ústav hygieny a technologie potravin rostlinného původu, </w:t>
      </w:r>
      <w:r w:rsidR="00561CB3" w:rsidRPr="00BA4F15">
        <w:t>Palackého tř.1946/1, 612 42 Brno</w:t>
      </w:r>
      <w:r w:rsidRPr="00BA4F15">
        <w:t xml:space="preserve">, e-mail: </w:t>
      </w:r>
      <w:hyperlink r:id="rId10" w:history="1">
        <w:r w:rsidRPr="00BA4F15">
          <w:rPr>
            <w:rStyle w:val="Hypertextovodkaz"/>
          </w:rPr>
          <w:t>javurkovaz@vfu.cz</w:t>
        </w:r>
      </w:hyperlink>
    </w:p>
    <w:sectPr w:rsidR="00284DBD" w:rsidRPr="00BA4F15" w:rsidSect="00BA4F15">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9106" w14:textId="77777777" w:rsidR="00F20676" w:rsidRDefault="00F20676" w:rsidP="00A52E6B">
      <w:r>
        <w:separator/>
      </w:r>
    </w:p>
  </w:endnote>
  <w:endnote w:type="continuationSeparator" w:id="0">
    <w:p w14:paraId="661413EA" w14:textId="77777777" w:rsidR="00F20676" w:rsidRDefault="00F20676" w:rsidP="00A5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9C23" w14:textId="77777777" w:rsidR="00F20676" w:rsidRDefault="00F20676" w:rsidP="00A52E6B">
      <w:r>
        <w:separator/>
      </w:r>
    </w:p>
  </w:footnote>
  <w:footnote w:type="continuationSeparator" w:id="0">
    <w:p w14:paraId="35CDE788" w14:textId="77777777" w:rsidR="00F20676" w:rsidRDefault="00F20676" w:rsidP="00A52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87"/>
    <w:rsid w:val="000003A9"/>
    <w:rsid w:val="000743BC"/>
    <w:rsid w:val="000D4E4D"/>
    <w:rsid w:val="000D5E28"/>
    <w:rsid w:val="000E11BD"/>
    <w:rsid w:val="00124604"/>
    <w:rsid w:val="0018138A"/>
    <w:rsid w:val="00284DBD"/>
    <w:rsid w:val="002F2E29"/>
    <w:rsid w:val="003042E7"/>
    <w:rsid w:val="003230BC"/>
    <w:rsid w:val="003708A4"/>
    <w:rsid w:val="00397929"/>
    <w:rsid w:val="003A5C73"/>
    <w:rsid w:val="003B6AC7"/>
    <w:rsid w:val="004D466B"/>
    <w:rsid w:val="00523C83"/>
    <w:rsid w:val="00536487"/>
    <w:rsid w:val="00554A30"/>
    <w:rsid w:val="00561CB3"/>
    <w:rsid w:val="005A0A56"/>
    <w:rsid w:val="00633B60"/>
    <w:rsid w:val="006348D8"/>
    <w:rsid w:val="006E1F70"/>
    <w:rsid w:val="0070357A"/>
    <w:rsid w:val="0073658B"/>
    <w:rsid w:val="00772C5A"/>
    <w:rsid w:val="008E4545"/>
    <w:rsid w:val="00902D2D"/>
    <w:rsid w:val="00996CCA"/>
    <w:rsid w:val="00A52E6B"/>
    <w:rsid w:val="00AB1B20"/>
    <w:rsid w:val="00AD280B"/>
    <w:rsid w:val="00B3390A"/>
    <w:rsid w:val="00B366F3"/>
    <w:rsid w:val="00B567B0"/>
    <w:rsid w:val="00BA4F15"/>
    <w:rsid w:val="00BF12D6"/>
    <w:rsid w:val="00C16CEF"/>
    <w:rsid w:val="00C44826"/>
    <w:rsid w:val="00C7630D"/>
    <w:rsid w:val="00CA227B"/>
    <w:rsid w:val="00D06F6E"/>
    <w:rsid w:val="00D176E7"/>
    <w:rsid w:val="00D438C9"/>
    <w:rsid w:val="00E12D65"/>
    <w:rsid w:val="00E43156"/>
    <w:rsid w:val="00E72744"/>
    <w:rsid w:val="00E745DE"/>
    <w:rsid w:val="00EE55B9"/>
    <w:rsid w:val="00EF6B9A"/>
    <w:rsid w:val="00F13BB5"/>
    <w:rsid w:val="00F20676"/>
    <w:rsid w:val="00F42C15"/>
    <w:rsid w:val="00F52D21"/>
    <w:rsid w:val="00F67E14"/>
    <w:rsid w:val="00FB7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771A5"/>
  <w15:docId w15:val="{5A349EC7-EFAF-4F50-8B6E-AF4C9D0B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38C9"/>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36487"/>
    <w:pPr>
      <w:spacing w:before="100" w:beforeAutospacing="1" w:after="100" w:afterAutospacing="1"/>
    </w:pPr>
    <w:rPr>
      <w:rFonts w:ascii="Arial Unicode MS" w:eastAsia="Arial Unicode MS" w:hAnsi="Arial Unicode MS" w:cs="Arial Unicode MS"/>
    </w:rPr>
  </w:style>
  <w:style w:type="character" w:styleId="Hypertextovodkaz">
    <w:name w:val="Hyperlink"/>
    <w:basedOn w:val="Standardnpsmoodstavce"/>
    <w:uiPriority w:val="99"/>
    <w:unhideWhenUsed/>
    <w:rsid w:val="00284DBD"/>
    <w:rPr>
      <w:color w:val="0000FF" w:themeColor="hyperlink"/>
      <w:u w:val="single"/>
    </w:rPr>
  </w:style>
  <w:style w:type="paragraph" w:styleId="Zhlav">
    <w:name w:val="header"/>
    <w:basedOn w:val="Normln"/>
    <w:link w:val="ZhlavChar"/>
    <w:uiPriority w:val="99"/>
    <w:unhideWhenUsed/>
    <w:rsid w:val="00A52E6B"/>
    <w:pPr>
      <w:tabs>
        <w:tab w:val="center" w:pos="4536"/>
        <w:tab w:val="right" w:pos="9072"/>
      </w:tabs>
    </w:pPr>
  </w:style>
  <w:style w:type="character" w:customStyle="1" w:styleId="ZhlavChar">
    <w:name w:val="Záhlaví Char"/>
    <w:basedOn w:val="Standardnpsmoodstavce"/>
    <w:link w:val="Zhlav"/>
    <w:uiPriority w:val="99"/>
    <w:rsid w:val="00A52E6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52E6B"/>
    <w:pPr>
      <w:tabs>
        <w:tab w:val="center" w:pos="4536"/>
        <w:tab w:val="right" w:pos="9072"/>
      </w:tabs>
    </w:pPr>
  </w:style>
  <w:style w:type="character" w:customStyle="1" w:styleId="ZpatChar">
    <w:name w:val="Zápatí Char"/>
    <w:basedOn w:val="Standardnpsmoodstavce"/>
    <w:link w:val="Zpat"/>
    <w:uiPriority w:val="99"/>
    <w:rsid w:val="00A52E6B"/>
    <w:rPr>
      <w:rFonts w:ascii="Times New Roman" w:eastAsia="Times New Roman" w:hAnsi="Times New Roman" w:cs="Times New Roman"/>
      <w:sz w:val="24"/>
      <w:szCs w:val="24"/>
      <w:lang w:eastAsia="cs-CZ"/>
    </w:rPr>
  </w:style>
  <w:style w:type="table" w:styleId="Mkatabulky">
    <w:name w:val="Table Grid"/>
    <w:basedOn w:val="Normlntabulka"/>
    <w:uiPriority w:val="59"/>
    <w:rsid w:val="00CA2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D466B"/>
    <w:rPr>
      <w:rFonts w:ascii="Tahoma" w:hAnsi="Tahoma" w:cs="Tahoma"/>
      <w:sz w:val="16"/>
      <w:szCs w:val="16"/>
    </w:rPr>
  </w:style>
  <w:style w:type="character" w:customStyle="1" w:styleId="TextbublinyChar">
    <w:name w:val="Text bubliny Char"/>
    <w:basedOn w:val="Standardnpsmoodstavce"/>
    <w:link w:val="Textbubliny"/>
    <w:uiPriority w:val="99"/>
    <w:semiHidden/>
    <w:rsid w:val="004D466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avurkovaz@vfu.cz" TargetMode="External"/><Relationship Id="rId4" Type="http://schemas.openxmlformats.org/officeDocument/2006/relationships/webSettings" Target="webSettings.xml"/><Relationship Id="rId9" Type="http://schemas.openxmlformats.org/officeDocument/2006/relationships/hyperlink" Target="https://doi.org/10.1111/j.1750-3841.2007.00346.x%2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CC69-B412-4EB4-8C17-721717E3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745</Words>
  <Characters>4399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vegetabilie</dc:creator>
  <cp:lastModifiedBy>Zdeňka Javůrková</cp:lastModifiedBy>
  <cp:revision>4</cp:revision>
  <dcterms:created xsi:type="dcterms:W3CDTF">2025-06-11T07:56:00Z</dcterms:created>
  <dcterms:modified xsi:type="dcterms:W3CDTF">2025-06-20T04:43:00Z</dcterms:modified>
</cp:coreProperties>
</file>